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5A1" w:rsidRDefault="002B05A1"/>
    <w:p w:rsidR="002B05A1" w:rsidRDefault="002B05A1" w:rsidP="002B05A1">
      <w:pPr>
        <w:jc w:val="center"/>
        <w:rPr>
          <w:rFonts w:ascii="Times New Roman" w:hAnsi="Times New Roman" w:cs="Times New Roman"/>
          <w:sz w:val="32"/>
          <w:szCs w:val="32"/>
        </w:rPr>
      </w:pPr>
      <w:r w:rsidRPr="002B05A1">
        <w:rPr>
          <w:rFonts w:ascii="Times New Roman" w:hAnsi="Times New Roman" w:cs="Times New Roman"/>
          <w:sz w:val="32"/>
          <w:szCs w:val="32"/>
        </w:rPr>
        <w:t>Доходы бюджета  города Назарово</w:t>
      </w:r>
    </w:p>
    <w:tbl>
      <w:tblPr>
        <w:tblStyle w:val="a5"/>
        <w:tblW w:w="0" w:type="auto"/>
        <w:tblLook w:val="04A0"/>
      </w:tblPr>
      <w:tblGrid>
        <w:gridCol w:w="2461"/>
        <w:gridCol w:w="1758"/>
        <w:gridCol w:w="1569"/>
        <w:gridCol w:w="1891"/>
        <w:gridCol w:w="1891"/>
      </w:tblGrid>
      <w:tr w:rsidR="002B05A1" w:rsidTr="002B05A1">
        <w:tc>
          <w:tcPr>
            <w:tcW w:w="2461" w:type="dxa"/>
          </w:tcPr>
          <w:p w:rsidR="002B05A1" w:rsidRDefault="002B05A1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Наименование показателя</w:t>
            </w:r>
          </w:p>
        </w:tc>
        <w:tc>
          <w:tcPr>
            <w:tcW w:w="1758" w:type="dxa"/>
          </w:tcPr>
          <w:p w:rsidR="002B05A1" w:rsidRDefault="002B05A1" w:rsidP="00FE18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201</w:t>
            </w:r>
            <w:r w:rsidR="00FE1844">
              <w:rPr>
                <w:rFonts w:ascii="Times New Roman" w:hAnsi="Times New Roman" w:cs="Times New Roman"/>
                <w:sz w:val="32"/>
                <w:szCs w:val="32"/>
              </w:rPr>
              <w:t>9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(факт)</w:t>
            </w:r>
          </w:p>
        </w:tc>
        <w:tc>
          <w:tcPr>
            <w:tcW w:w="1569" w:type="dxa"/>
          </w:tcPr>
          <w:p w:rsidR="002B05A1" w:rsidRDefault="002B05A1" w:rsidP="00FE18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="00FE1844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1891" w:type="dxa"/>
          </w:tcPr>
          <w:p w:rsidR="002B05A1" w:rsidRDefault="002B05A1" w:rsidP="00FE18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FE1844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891" w:type="dxa"/>
          </w:tcPr>
          <w:p w:rsidR="002B05A1" w:rsidRDefault="002B05A1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FE1844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2B05A1" w:rsidTr="002B05A1">
        <w:tc>
          <w:tcPr>
            <w:tcW w:w="2461" w:type="dxa"/>
          </w:tcPr>
          <w:p w:rsidR="002B05A1" w:rsidRDefault="002B05A1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Налоговые доходы</w:t>
            </w:r>
          </w:p>
        </w:tc>
        <w:tc>
          <w:tcPr>
            <w:tcW w:w="1758" w:type="dxa"/>
          </w:tcPr>
          <w:p w:rsidR="002B05A1" w:rsidRDefault="00234C2B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316,4</w:t>
            </w:r>
          </w:p>
        </w:tc>
        <w:tc>
          <w:tcPr>
            <w:tcW w:w="1569" w:type="dxa"/>
          </w:tcPr>
          <w:p w:rsidR="002B05A1" w:rsidRDefault="004036E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="00234C2B">
              <w:rPr>
                <w:rFonts w:ascii="Times New Roman" w:hAnsi="Times New Roman" w:cs="Times New Roman"/>
                <w:sz w:val="32"/>
                <w:szCs w:val="32"/>
              </w:rPr>
              <w:t>68,1</w:t>
            </w:r>
          </w:p>
        </w:tc>
        <w:tc>
          <w:tcPr>
            <w:tcW w:w="1891" w:type="dxa"/>
          </w:tcPr>
          <w:p w:rsidR="002B05A1" w:rsidRDefault="00234C2B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360,2</w:t>
            </w:r>
          </w:p>
        </w:tc>
        <w:tc>
          <w:tcPr>
            <w:tcW w:w="1891" w:type="dxa"/>
          </w:tcPr>
          <w:p w:rsidR="002B05A1" w:rsidRDefault="0032202B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359,1</w:t>
            </w:r>
          </w:p>
        </w:tc>
      </w:tr>
      <w:tr w:rsidR="002B05A1" w:rsidTr="002B05A1">
        <w:tc>
          <w:tcPr>
            <w:tcW w:w="2461" w:type="dxa"/>
          </w:tcPr>
          <w:p w:rsidR="002B05A1" w:rsidRDefault="002B05A1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Неналоговые доходы</w:t>
            </w:r>
          </w:p>
        </w:tc>
        <w:tc>
          <w:tcPr>
            <w:tcW w:w="1758" w:type="dxa"/>
          </w:tcPr>
          <w:p w:rsidR="002B05A1" w:rsidRDefault="00234C2B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40,9</w:t>
            </w:r>
          </w:p>
        </w:tc>
        <w:tc>
          <w:tcPr>
            <w:tcW w:w="1569" w:type="dxa"/>
          </w:tcPr>
          <w:p w:rsidR="002B05A1" w:rsidRDefault="004036E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234C2B">
              <w:rPr>
                <w:rFonts w:ascii="Times New Roman" w:hAnsi="Times New Roman" w:cs="Times New Roman"/>
                <w:sz w:val="32"/>
                <w:szCs w:val="32"/>
              </w:rPr>
              <w:t>2,9</w:t>
            </w:r>
          </w:p>
        </w:tc>
        <w:tc>
          <w:tcPr>
            <w:tcW w:w="1891" w:type="dxa"/>
          </w:tcPr>
          <w:p w:rsidR="002B05A1" w:rsidRDefault="004036E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234C2B">
              <w:rPr>
                <w:rFonts w:ascii="Times New Roman" w:hAnsi="Times New Roman" w:cs="Times New Roman"/>
                <w:sz w:val="32"/>
                <w:szCs w:val="32"/>
              </w:rPr>
              <w:t>3,2</w:t>
            </w:r>
          </w:p>
        </w:tc>
        <w:tc>
          <w:tcPr>
            <w:tcW w:w="1891" w:type="dxa"/>
          </w:tcPr>
          <w:p w:rsidR="002B05A1" w:rsidRDefault="004036E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32202B">
              <w:rPr>
                <w:rFonts w:ascii="Times New Roman" w:hAnsi="Times New Roman" w:cs="Times New Roman"/>
                <w:sz w:val="32"/>
                <w:szCs w:val="32"/>
              </w:rPr>
              <w:t>2,9</w:t>
            </w:r>
          </w:p>
        </w:tc>
      </w:tr>
      <w:tr w:rsidR="002B05A1" w:rsidTr="002B05A1">
        <w:tc>
          <w:tcPr>
            <w:tcW w:w="2461" w:type="dxa"/>
          </w:tcPr>
          <w:p w:rsidR="002B05A1" w:rsidRDefault="002B05A1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Межбюджетные трансферты</w:t>
            </w:r>
            <w:r w:rsidR="001F1A69">
              <w:rPr>
                <w:rFonts w:ascii="Times New Roman" w:hAnsi="Times New Roman" w:cs="Times New Roman"/>
                <w:sz w:val="32"/>
                <w:szCs w:val="32"/>
              </w:rPr>
              <w:t>, в т.ч.</w:t>
            </w:r>
          </w:p>
        </w:tc>
        <w:tc>
          <w:tcPr>
            <w:tcW w:w="1758" w:type="dxa"/>
          </w:tcPr>
          <w:p w:rsidR="002B05A1" w:rsidRDefault="00234C2B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1075,2</w:t>
            </w:r>
          </w:p>
        </w:tc>
        <w:tc>
          <w:tcPr>
            <w:tcW w:w="1569" w:type="dxa"/>
          </w:tcPr>
          <w:p w:rsidR="002B05A1" w:rsidRDefault="00234C2B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813,2</w:t>
            </w:r>
          </w:p>
        </w:tc>
        <w:tc>
          <w:tcPr>
            <w:tcW w:w="1891" w:type="dxa"/>
          </w:tcPr>
          <w:p w:rsidR="002B05A1" w:rsidRDefault="00234C2B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830,3</w:t>
            </w:r>
          </w:p>
        </w:tc>
        <w:tc>
          <w:tcPr>
            <w:tcW w:w="1891" w:type="dxa"/>
          </w:tcPr>
          <w:p w:rsidR="002B05A1" w:rsidRDefault="004036E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  <w:r w:rsidR="0032202B">
              <w:rPr>
                <w:rFonts w:ascii="Times New Roman" w:hAnsi="Times New Roman" w:cs="Times New Roman"/>
                <w:sz w:val="32"/>
                <w:szCs w:val="32"/>
              </w:rPr>
              <w:t>37,8</w:t>
            </w:r>
          </w:p>
        </w:tc>
      </w:tr>
      <w:tr w:rsidR="001F1A69" w:rsidTr="002B05A1">
        <w:tc>
          <w:tcPr>
            <w:tcW w:w="2461" w:type="dxa"/>
          </w:tcPr>
          <w:p w:rsidR="001F1A69" w:rsidRDefault="001F1A6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Дотации</w:t>
            </w:r>
          </w:p>
        </w:tc>
        <w:tc>
          <w:tcPr>
            <w:tcW w:w="1758" w:type="dxa"/>
          </w:tcPr>
          <w:p w:rsidR="001F1A69" w:rsidRDefault="001F1A6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234C2B">
              <w:rPr>
                <w:rFonts w:ascii="Times New Roman" w:hAnsi="Times New Roman" w:cs="Times New Roman"/>
                <w:sz w:val="32"/>
                <w:szCs w:val="32"/>
              </w:rPr>
              <w:t>78,5</w:t>
            </w:r>
          </w:p>
        </w:tc>
        <w:tc>
          <w:tcPr>
            <w:tcW w:w="1569" w:type="dxa"/>
          </w:tcPr>
          <w:p w:rsidR="001F1A69" w:rsidRPr="001F1A69" w:rsidRDefault="00234C2B" w:rsidP="00322E5A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204,9</w:t>
            </w:r>
          </w:p>
        </w:tc>
        <w:tc>
          <w:tcPr>
            <w:tcW w:w="1891" w:type="dxa"/>
          </w:tcPr>
          <w:p w:rsidR="001F1A69" w:rsidRPr="001F1A69" w:rsidRDefault="001F1A69" w:rsidP="001F1A69">
            <w:pPr>
              <w:spacing w:after="120"/>
              <w:ind w:firstLine="317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 w:rsidRPr="001F1A69"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1</w:t>
            </w:r>
            <w:r w:rsidR="00234C2B"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72,3</w:t>
            </w:r>
          </w:p>
        </w:tc>
        <w:tc>
          <w:tcPr>
            <w:tcW w:w="1891" w:type="dxa"/>
          </w:tcPr>
          <w:p w:rsidR="001F1A69" w:rsidRPr="001F1A69" w:rsidRDefault="001F1A69" w:rsidP="001F1A69">
            <w:pPr>
              <w:spacing w:after="120"/>
              <w:ind w:firstLine="175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 w:rsidRPr="001F1A69"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1</w:t>
            </w:r>
            <w:r w:rsidR="0032202B"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72,3</w:t>
            </w:r>
          </w:p>
        </w:tc>
      </w:tr>
      <w:tr w:rsidR="001F1A69" w:rsidTr="002B05A1">
        <w:tc>
          <w:tcPr>
            <w:tcW w:w="2461" w:type="dxa"/>
          </w:tcPr>
          <w:p w:rsidR="001F1A69" w:rsidRDefault="001F1A6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Субсидии</w:t>
            </w:r>
          </w:p>
        </w:tc>
        <w:tc>
          <w:tcPr>
            <w:tcW w:w="1758" w:type="dxa"/>
          </w:tcPr>
          <w:p w:rsidR="001F1A69" w:rsidRDefault="00234C2B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295,1</w:t>
            </w:r>
          </w:p>
        </w:tc>
        <w:tc>
          <w:tcPr>
            <w:tcW w:w="1569" w:type="dxa"/>
          </w:tcPr>
          <w:p w:rsidR="001F1A69" w:rsidRPr="001F1A69" w:rsidRDefault="00234C2B" w:rsidP="00322E5A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69,5</w:t>
            </w:r>
          </w:p>
        </w:tc>
        <w:tc>
          <w:tcPr>
            <w:tcW w:w="1891" w:type="dxa"/>
          </w:tcPr>
          <w:p w:rsidR="001F1A69" w:rsidRPr="001F1A69" w:rsidRDefault="00234C2B" w:rsidP="00322E5A">
            <w:pPr>
              <w:spacing w:after="120"/>
              <w:ind w:firstLine="317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115,2</w:t>
            </w:r>
          </w:p>
        </w:tc>
        <w:tc>
          <w:tcPr>
            <w:tcW w:w="1891" w:type="dxa"/>
          </w:tcPr>
          <w:p w:rsidR="001F1A69" w:rsidRPr="001F1A69" w:rsidRDefault="0032202B" w:rsidP="00322E5A">
            <w:pPr>
              <w:spacing w:after="120"/>
              <w:ind w:firstLine="175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23,7</w:t>
            </w:r>
          </w:p>
        </w:tc>
      </w:tr>
      <w:tr w:rsidR="001F1A69" w:rsidTr="002B05A1">
        <w:tc>
          <w:tcPr>
            <w:tcW w:w="2461" w:type="dxa"/>
          </w:tcPr>
          <w:p w:rsidR="001F1A69" w:rsidRDefault="001F1A6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субвенции</w:t>
            </w:r>
          </w:p>
        </w:tc>
        <w:tc>
          <w:tcPr>
            <w:tcW w:w="1758" w:type="dxa"/>
          </w:tcPr>
          <w:p w:rsidR="001F1A69" w:rsidRDefault="00234C2B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601,4</w:t>
            </w:r>
          </w:p>
        </w:tc>
        <w:tc>
          <w:tcPr>
            <w:tcW w:w="1569" w:type="dxa"/>
          </w:tcPr>
          <w:p w:rsidR="001F1A69" w:rsidRPr="001F1A69" w:rsidRDefault="001F1A69" w:rsidP="00322E5A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 w:rsidRPr="001F1A69"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5</w:t>
            </w:r>
            <w:r w:rsidR="00234C2B"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38,5</w:t>
            </w:r>
          </w:p>
        </w:tc>
        <w:tc>
          <w:tcPr>
            <w:tcW w:w="1891" w:type="dxa"/>
          </w:tcPr>
          <w:p w:rsidR="001F1A69" w:rsidRPr="001F1A69" w:rsidRDefault="001F1A69" w:rsidP="00322E5A">
            <w:pPr>
              <w:spacing w:after="120"/>
              <w:ind w:firstLine="317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 w:rsidRPr="001F1A69"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5</w:t>
            </w:r>
            <w:r w:rsidR="00234C2B"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42,8</w:t>
            </w:r>
          </w:p>
        </w:tc>
        <w:tc>
          <w:tcPr>
            <w:tcW w:w="1891" w:type="dxa"/>
          </w:tcPr>
          <w:p w:rsidR="001F1A69" w:rsidRPr="001F1A69" w:rsidRDefault="001F1A69" w:rsidP="00322E5A">
            <w:pPr>
              <w:spacing w:after="120"/>
              <w:ind w:firstLine="175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 w:rsidRPr="001F1A69"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5</w:t>
            </w:r>
            <w:r w:rsidR="0032202B"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41,8</w:t>
            </w:r>
          </w:p>
        </w:tc>
      </w:tr>
      <w:tr w:rsidR="001F1A69" w:rsidTr="002B05A1">
        <w:tc>
          <w:tcPr>
            <w:tcW w:w="2461" w:type="dxa"/>
          </w:tcPr>
          <w:p w:rsidR="001F1A69" w:rsidRDefault="001F1A6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Всего доходов</w:t>
            </w:r>
          </w:p>
        </w:tc>
        <w:tc>
          <w:tcPr>
            <w:tcW w:w="1758" w:type="dxa"/>
          </w:tcPr>
          <w:p w:rsidR="001F1A69" w:rsidRDefault="001F1A6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234C2B">
              <w:rPr>
                <w:rFonts w:ascii="Times New Roman" w:hAnsi="Times New Roman" w:cs="Times New Roman"/>
                <w:sz w:val="32"/>
                <w:szCs w:val="32"/>
              </w:rPr>
              <w:t>433,2</w:t>
            </w:r>
          </w:p>
        </w:tc>
        <w:tc>
          <w:tcPr>
            <w:tcW w:w="1569" w:type="dxa"/>
          </w:tcPr>
          <w:p w:rsidR="001F1A69" w:rsidRDefault="001F1A6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234C2B">
              <w:rPr>
                <w:rFonts w:ascii="Times New Roman" w:hAnsi="Times New Roman" w:cs="Times New Roman"/>
                <w:sz w:val="32"/>
                <w:szCs w:val="32"/>
              </w:rPr>
              <w:t>206,02</w:t>
            </w:r>
          </w:p>
        </w:tc>
        <w:tc>
          <w:tcPr>
            <w:tcW w:w="1891" w:type="dxa"/>
          </w:tcPr>
          <w:p w:rsidR="001F1A69" w:rsidRDefault="001F1A6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234C2B">
              <w:rPr>
                <w:rFonts w:ascii="Times New Roman" w:hAnsi="Times New Roman" w:cs="Times New Roman"/>
                <w:sz w:val="32"/>
                <w:szCs w:val="32"/>
              </w:rPr>
              <w:t>215,1</w:t>
            </w:r>
          </w:p>
        </w:tc>
        <w:tc>
          <w:tcPr>
            <w:tcW w:w="1891" w:type="dxa"/>
          </w:tcPr>
          <w:p w:rsidR="001F1A69" w:rsidRDefault="001F1A6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32202B">
              <w:rPr>
                <w:rFonts w:ascii="Times New Roman" w:hAnsi="Times New Roman" w:cs="Times New Roman"/>
                <w:sz w:val="32"/>
                <w:szCs w:val="32"/>
              </w:rPr>
              <w:t>121,9</w:t>
            </w:r>
          </w:p>
        </w:tc>
      </w:tr>
    </w:tbl>
    <w:tbl>
      <w:tblPr>
        <w:tblW w:w="11665" w:type="dxa"/>
        <w:tblInd w:w="-459" w:type="dxa"/>
        <w:tblLook w:val="04A0"/>
      </w:tblPr>
      <w:tblGrid>
        <w:gridCol w:w="6636"/>
        <w:gridCol w:w="1618"/>
        <w:gridCol w:w="987"/>
        <w:gridCol w:w="1253"/>
        <w:gridCol w:w="432"/>
        <w:gridCol w:w="267"/>
        <w:gridCol w:w="236"/>
        <w:gridCol w:w="236"/>
      </w:tblGrid>
      <w:tr w:rsidR="00F665A1" w:rsidRPr="00F665A1" w:rsidTr="001F1A69">
        <w:trPr>
          <w:trHeight w:val="312"/>
        </w:trPr>
        <w:tc>
          <w:tcPr>
            <w:tcW w:w="6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65A1" w:rsidRPr="00F665A1" w:rsidRDefault="00F665A1" w:rsidP="00F66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65A1" w:rsidRPr="00F665A1" w:rsidRDefault="00F665A1" w:rsidP="00F66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65A1" w:rsidRPr="00F665A1" w:rsidRDefault="00F665A1" w:rsidP="00F66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65A1" w:rsidRPr="00F665A1" w:rsidRDefault="00F665A1" w:rsidP="00F66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65A1" w:rsidRPr="00F665A1" w:rsidRDefault="00F665A1" w:rsidP="00F66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65A1" w:rsidRPr="00F665A1" w:rsidRDefault="00F665A1" w:rsidP="00F66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65A1" w:rsidRPr="00F665A1" w:rsidRDefault="00F665A1" w:rsidP="00F66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5A1" w:rsidRPr="00F665A1" w:rsidTr="008F3742">
        <w:trPr>
          <w:gridAfter w:val="4"/>
          <w:wAfter w:w="1171" w:type="dxa"/>
          <w:trHeight w:val="312"/>
        </w:trPr>
        <w:tc>
          <w:tcPr>
            <w:tcW w:w="104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65A1" w:rsidRDefault="00F665A1" w:rsidP="008F37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 бюджета города Назарово на 20</w:t>
            </w:r>
            <w:r w:rsidR="00FE1844" w:rsidRPr="00533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  <w:r w:rsidRPr="00533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г. и плановый период 202</w:t>
            </w:r>
            <w:r w:rsidR="0015777A" w:rsidRPr="00533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1-2022</w:t>
            </w:r>
            <w:r w:rsidR="00B26024" w:rsidRPr="00533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533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годы</w:t>
            </w:r>
            <w:r w:rsidR="00E1571E" w:rsidRPr="00533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533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r w:rsidR="00E1571E" w:rsidRPr="00533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соответствии с решением НГСД</w:t>
            </w:r>
            <w:r w:rsidR="00E1571E" w:rsidRPr="00E157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r w:rsidR="00E1571E" w:rsidRPr="00E1571E">
              <w:rPr>
                <w:rFonts w:ascii="Times New Roman" w:hAnsi="Times New Roman" w:cs="Times New Roman"/>
                <w:sz w:val="28"/>
                <w:szCs w:val="28"/>
              </w:rPr>
              <w:t>Об утверждении бюджета городского округа города Назарово на 20</w:t>
            </w:r>
            <w:r w:rsidR="0015777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1571E" w:rsidRPr="00E1571E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15777A">
              <w:rPr>
                <w:rFonts w:ascii="Times New Roman" w:hAnsi="Times New Roman" w:cs="Times New Roman"/>
                <w:sz w:val="28"/>
                <w:szCs w:val="28"/>
              </w:rPr>
              <w:t>1-2022</w:t>
            </w:r>
            <w:r w:rsidR="00E1571E" w:rsidRPr="00E1571E">
              <w:rPr>
                <w:rFonts w:ascii="Times New Roman" w:hAnsi="Times New Roman" w:cs="Times New Roman"/>
                <w:sz w:val="28"/>
                <w:szCs w:val="28"/>
              </w:rPr>
              <w:t xml:space="preserve"> годы» №</w:t>
            </w:r>
            <w:r w:rsidR="00BA352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1571E" w:rsidRPr="00E157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A3526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  <w:r w:rsidR="00E1571E" w:rsidRPr="00E1571E">
              <w:rPr>
                <w:rFonts w:ascii="Times New Roman" w:hAnsi="Times New Roman" w:cs="Times New Roman"/>
                <w:sz w:val="28"/>
                <w:szCs w:val="28"/>
              </w:rPr>
              <w:t xml:space="preserve"> от 12.12.201</w:t>
            </w:r>
            <w:r w:rsidR="00322E5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1571E" w:rsidRPr="00E1571E">
              <w:rPr>
                <w:rFonts w:ascii="Times New Roman" w:hAnsi="Times New Roman" w:cs="Times New Roman"/>
                <w:sz w:val="28"/>
                <w:szCs w:val="28"/>
              </w:rPr>
              <w:t>, тыс. руб.</w:t>
            </w:r>
          </w:p>
          <w:tbl>
            <w:tblPr>
              <w:tblW w:w="10088" w:type="dxa"/>
              <w:tblLook w:val="04A0"/>
            </w:tblPr>
            <w:tblGrid>
              <w:gridCol w:w="4300"/>
              <w:gridCol w:w="2245"/>
              <w:gridCol w:w="1559"/>
              <w:gridCol w:w="1984"/>
            </w:tblGrid>
            <w:tr w:rsidR="00FE1844" w:rsidRPr="00FE1844" w:rsidTr="00FE1844">
              <w:trPr>
                <w:trHeight w:val="312"/>
              </w:trPr>
              <w:tc>
                <w:tcPr>
                  <w:tcW w:w="430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Вид доходов</w:t>
                  </w:r>
                </w:p>
              </w:tc>
              <w:tc>
                <w:tcPr>
                  <w:tcW w:w="2245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2020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2021</w:t>
                  </w:r>
                </w:p>
              </w:tc>
              <w:tc>
                <w:tcPr>
                  <w:tcW w:w="1984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2022</w:t>
                  </w:r>
                </w:p>
              </w:tc>
            </w:tr>
            <w:tr w:rsidR="00FE1844" w:rsidRPr="00FE1844" w:rsidTr="00FE1844">
              <w:trPr>
                <w:trHeight w:val="264"/>
              </w:trPr>
              <w:tc>
                <w:tcPr>
                  <w:tcW w:w="430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245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984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Налог на прибыль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42764,5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44923,2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45718,23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Доходы от уплаты акцизов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22335,60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23126,9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24080,3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НДФЛ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221607,75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223810,64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225868,25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18172,53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4856,23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238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ЕНВД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17935,53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4618,23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Патенты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225,0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225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225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ЕСХН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12,0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Налоги на имущество всего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51204,5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51386,47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51686,77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Налог на имущество </w:t>
                  </w:r>
                  <w:proofErr w:type="spellStart"/>
                  <w:proofErr w:type="gramStart"/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физ</w:t>
                  </w:r>
                  <w:proofErr w:type="spellEnd"/>
                  <w:proofErr w:type="gramEnd"/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лиц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16316,25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16316,25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16316,25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34888,25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35070,22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35370,52</w:t>
                  </w:r>
                </w:p>
              </w:tc>
            </w:tr>
            <w:tr w:rsidR="00FE1844" w:rsidRPr="00FE1844" w:rsidTr="00FE1844">
              <w:trPr>
                <w:trHeight w:val="420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12030,00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12100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12150</w:t>
                  </w:r>
                </w:p>
              </w:tc>
            </w:tr>
            <w:tr w:rsidR="00FE1844" w:rsidRPr="00FE1844" w:rsidTr="00FE1844">
              <w:trPr>
                <w:trHeight w:val="375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Задолженность по отмененным налогам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FE1844" w:rsidRPr="00FE1844" w:rsidTr="00FE1844">
              <w:trPr>
                <w:trHeight w:val="948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Доходы от использования имущества, находящего в государственной и муниципальной собственности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14545,02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14549,4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14249,79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Арендная плата за земли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10689,50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10689,50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10689,50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аренда имущества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1580,00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1580,00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1280,00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Прибыль МУП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9,52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9,90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10,29</w:t>
                  </w:r>
                </w:p>
              </w:tc>
            </w:tr>
            <w:tr w:rsidR="00FE1844" w:rsidRPr="00FE1844" w:rsidTr="00FE1844">
              <w:trPr>
                <w:trHeight w:val="552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доходы от аренды (</w:t>
                  </w:r>
                  <w:proofErr w:type="spellStart"/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найм</w:t>
                  </w:r>
                  <w:proofErr w:type="spellEnd"/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содержание </w:t>
                  </w:r>
                  <w:proofErr w:type="spellStart"/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рекламн</w:t>
                  </w:r>
                  <w:proofErr w:type="gramStart"/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.к</w:t>
                  </w:r>
                  <w:proofErr w:type="gramEnd"/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онстр</w:t>
                  </w:r>
                  <w:proofErr w:type="spellEnd"/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.)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2266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2270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2270</w:t>
                  </w:r>
                </w:p>
              </w:tc>
            </w:tr>
            <w:tr w:rsidR="00FE1844" w:rsidRPr="00FE1844" w:rsidTr="00FE1844">
              <w:trPr>
                <w:trHeight w:val="420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3814,40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3814,40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3814,40</w:t>
                  </w:r>
                </w:p>
              </w:tc>
            </w:tr>
            <w:tr w:rsidR="00FE1844" w:rsidRPr="00FE1844" w:rsidTr="00FE1844">
              <w:trPr>
                <w:trHeight w:val="780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lastRenderedPageBreak/>
                    <w:t>Доходы  от продажи материальных и нематериальных активо</w:t>
                  </w:r>
                  <w:proofErr w:type="gramStart"/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в(</w:t>
                  </w:r>
                  <w:proofErr w:type="gramEnd"/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в т.ч. земельных участков)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3250,0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3450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3450</w:t>
                  </w:r>
                </w:p>
              </w:tc>
            </w:tr>
            <w:tr w:rsidR="00FE1844" w:rsidRPr="00FE1844" w:rsidTr="00FE1844">
              <w:trPr>
                <w:trHeight w:val="465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1100,0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1100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1100</w:t>
                  </w:r>
                </w:p>
              </w:tc>
            </w:tr>
            <w:tr w:rsidR="00FE1844" w:rsidRPr="00FE1844" w:rsidTr="00FE1844">
              <w:trPr>
                <w:trHeight w:val="390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</w:tr>
            <w:tr w:rsidR="00FE1844" w:rsidRPr="00FE1844" w:rsidTr="00FE1844">
              <w:trPr>
                <w:trHeight w:val="360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Доходы от оказан</w:t>
                  </w:r>
                  <w:proofErr w:type="gramStart"/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.п</w:t>
                  </w:r>
                  <w:proofErr w:type="gramEnd"/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л.услуг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250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250</w:t>
                  </w:r>
                </w:p>
              </w:tc>
            </w:tr>
            <w:tr w:rsidR="00FE1844" w:rsidRPr="00FE1844" w:rsidTr="00FE1844">
              <w:trPr>
                <w:trHeight w:val="420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Итого собственных доходов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391074,30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383367,24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382605,74</w:t>
                  </w:r>
                </w:p>
              </w:tc>
            </w:tr>
            <w:tr w:rsidR="00FE1844" w:rsidRPr="00FE1844" w:rsidTr="00FE1844">
              <w:trPr>
                <w:trHeight w:val="465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Собственные с </w:t>
                  </w:r>
                  <w:proofErr w:type="spellStart"/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учтом</w:t>
                  </w:r>
                  <w:proofErr w:type="spellEnd"/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дотации и субсидии на выравнивание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595951,60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555662,84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554901,34</w:t>
                  </w:r>
                </w:p>
              </w:tc>
            </w:tr>
            <w:tr w:rsidR="00FE1844" w:rsidRPr="00FE1844" w:rsidTr="00FE1844">
              <w:trPr>
                <w:trHeight w:val="435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Безвозмездные поступления всего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814945,58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831751,85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739258,30</w:t>
                  </w:r>
                </w:p>
              </w:tc>
            </w:tr>
            <w:tr w:rsidR="00FE1844" w:rsidRPr="00FE1844" w:rsidTr="00FE1844">
              <w:trPr>
                <w:trHeight w:val="390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proofErr w:type="gramStart"/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Безвозмездные</w:t>
                  </w:r>
                  <w:proofErr w:type="gramEnd"/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из бюджета субъекта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813237,88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830317,45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737823,9</w:t>
                  </w:r>
                </w:p>
              </w:tc>
            </w:tr>
            <w:tr w:rsidR="00FE1844" w:rsidRPr="00FE1844" w:rsidTr="00FE1844">
              <w:trPr>
                <w:trHeight w:val="288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Дотации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lang w:eastAsia="ru-RU"/>
                    </w:rPr>
                    <w:t>204877,30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  <w:t>172 295,6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  <w:t>172 295,6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субвенции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538830,6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542 824,1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541 798,7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субсидии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69529,98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115197,75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23729,6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МБТ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безвозмездные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1707,7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1 434,4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1 434,4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Возврат остатков субсидий, субвенций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FE1844" w:rsidRPr="00FE1844" w:rsidTr="00FE1844">
              <w:trPr>
                <w:trHeight w:val="288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ИТОГО доходов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1206019,88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1215119,09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1121864,04</w:t>
                  </w:r>
                </w:p>
              </w:tc>
            </w:tr>
          </w:tbl>
          <w:p w:rsidR="00FE1844" w:rsidRDefault="00FE1844" w:rsidP="008F37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1844" w:rsidRPr="00F665A1" w:rsidRDefault="00FE1844" w:rsidP="008F374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D75B44" w:rsidRPr="008E3F43" w:rsidRDefault="00E1571E" w:rsidP="008F3742">
      <w:pPr>
        <w:ind w:left="-426" w:right="-143"/>
        <w:jc w:val="center"/>
        <w:rPr>
          <w:rFonts w:ascii="Times New Roman" w:hAnsi="Times New Roman" w:cs="Times New Roman"/>
          <w:sz w:val="36"/>
          <w:szCs w:val="36"/>
        </w:rPr>
      </w:pPr>
      <w:r w:rsidRPr="008E3F43">
        <w:rPr>
          <w:rFonts w:ascii="Times New Roman" w:hAnsi="Times New Roman" w:cs="Times New Roman"/>
          <w:sz w:val="36"/>
          <w:szCs w:val="36"/>
        </w:rPr>
        <w:lastRenderedPageBreak/>
        <w:t>Структура доходов бюджета города Назарово на 201</w:t>
      </w:r>
      <w:r w:rsidR="00FE1844">
        <w:rPr>
          <w:rFonts w:ascii="Times New Roman" w:hAnsi="Times New Roman" w:cs="Times New Roman"/>
          <w:sz w:val="36"/>
          <w:szCs w:val="36"/>
        </w:rPr>
        <w:t>9</w:t>
      </w:r>
      <w:r w:rsidRPr="008E3F43">
        <w:rPr>
          <w:rFonts w:ascii="Times New Roman" w:hAnsi="Times New Roman" w:cs="Times New Roman"/>
          <w:sz w:val="36"/>
          <w:szCs w:val="36"/>
        </w:rPr>
        <w:t>-202</w:t>
      </w:r>
      <w:r w:rsidR="00FE1844">
        <w:rPr>
          <w:rFonts w:ascii="Times New Roman" w:hAnsi="Times New Roman" w:cs="Times New Roman"/>
          <w:sz w:val="36"/>
          <w:szCs w:val="36"/>
        </w:rPr>
        <w:t>2</w:t>
      </w:r>
      <w:r w:rsidRPr="008E3F43">
        <w:rPr>
          <w:rFonts w:ascii="Times New Roman" w:hAnsi="Times New Roman" w:cs="Times New Roman"/>
          <w:sz w:val="36"/>
          <w:szCs w:val="36"/>
        </w:rPr>
        <w:t xml:space="preserve"> гг.</w:t>
      </w:r>
      <w:r w:rsidR="00E23E34" w:rsidRPr="008E3F43">
        <w:rPr>
          <w:rFonts w:ascii="Times New Roman" w:hAnsi="Times New Roman" w:cs="Times New Roman"/>
          <w:sz w:val="36"/>
          <w:szCs w:val="36"/>
        </w:rPr>
        <w:t>,</w:t>
      </w:r>
      <w:r w:rsidRPr="008E3F43">
        <w:rPr>
          <w:rFonts w:ascii="Times New Roman" w:hAnsi="Times New Roman" w:cs="Times New Roman"/>
          <w:sz w:val="36"/>
          <w:szCs w:val="36"/>
        </w:rPr>
        <w:t xml:space="preserve"> млн. руб.</w:t>
      </w:r>
    </w:p>
    <w:p w:rsidR="00E1571E" w:rsidRPr="00E1571E" w:rsidRDefault="00E1571E" w:rsidP="00E1571E">
      <w:pPr>
        <w:ind w:right="-14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6037243" cy="4087258"/>
            <wp:effectExtent l="19050" t="0" r="1607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E1571E" w:rsidRDefault="00E1571E" w:rsidP="00F665A1">
      <w:pPr>
        <w:ind w:right="-143"/>
      </w:pPr>
    </w:p>
    <w:p w:rsidR="004036E9" w:rsidRDefault="004036E9" w:rsidP="00E51368">
      <w:pPr>
        <w:ind w:right="-143"/>
        <w:jc w:val="center"/>
        <w:rPr>
          <w:rFonts w:ascii="Times New Roman" w:hAnsi="Times New Roman" w:cs="Times New Roman"/>
          <w:sz w:val="32"/>
          <w:szCs w:val="32"/>
        </w:rPr>
      </w:pPr>
    </w:p>
    <w:p w:rsidR="00E51368" w:rsidRPr="008E3F43" w:rsidRDefault="00E51368" w:rsidP="008F3742">
      <w:pPr>
        <w:ind w:right="-143"/>
        <w:jc w:val="center"/>
        <w:rPr>
          <w:rFonts w:ascii="Times New Roman" w:hAnsi="Times New Roman" w:cs="Times New Roman"/>
          <w:sz w:val="36"/>
          <w:szCs w:val="36"/>
        </w:rPr>
      </w:pPr>
      <w:r w:rsidRPr="008E3F43">
        <w:rPr>
          <w:rFonts w:ascii="Times New Roman" w:hAnsi="Times New Roman" w:cs="Times New Roman"/>
          <w:sz w:val="36"/>
          <w:szCs w:val="36"/>
        </w:rPr>
        <w:lastRenderedPageBreak/>
        <w:t xml:space="preserve">Структура налоговых доходов бюджета </w:t>
      </w:r>
      <w:r w:rsidR="00E23E34" w:rsidRPr="008E3F43">
        <w:rPr>
          <w:rFonts w:ascii="Times New Roman" w:hAnsi="Times New Roman" w:cs="Times New Roman"/>
          <w:sz w:val="36"/>
          <w:szCs w:val="36"/>
        </w:rPr>
        <w:t>на 20</w:t>
      </w:r>
      <w:r w:rsidR="0032202B">
        <w:rPr>
          <w:rFonts w:ascii="Times New Roman" w:hAnsi="Times New Roman" w:cs="Times New Roman"/>
          <w:sz w:val="36"/>
          <w:szCs w:val="36"/>
        </w:rPr>
        <w:t>19</w:t>
      </w:r>
      <w:r w:rsidR="00E23E34" w:rsidRPr="008E3F43">
        <w:rPr>
          <w:rFonts w:ascii="Times New Roman" w:hAnsi="Times New Roman" w:cs="Times New Roman"/>
          <w:sz w:val="36"/>
          <w:szCs w:val="36"/>
        </w:rPr>
        <w:t>-202</w:t>
      </w:r>
      <w:r w:rsidR="00FE1844">
        <w:rPr>
          <w:rFonts w:ascii="Times New Roman" w:hAnsi="Times New Roman" w:cs="Times New Roman"/>
          <w:sz w:val="36"/>
          <w:szCs w:val="36"/>
        </w:rPr>
        <w:t>2</w:t>
      </w:r>
      <w:r w:rsidR="00E23E34" w:rsidRPr="008E3F43">
        <w:rPr>
          <w:rFonts w:ascii="Times New Roman" w:hAnsi="Times New Roman" w:cs="Times New Roman"/>
          <w:sz w:val="36"/>
          <w:szCs w:val="36"/>
        </w:rPr>
        <w:t xml:space="preserve"> гг</w:t>
      </w:r>
      <w:r w:rsidRPr="008E3F43">
        <w:rPr>
          <w:rFonts w:ascii="Times New Roman" w:hAnsi="Times New Roman" w:cs="Times New Roman"/>
          <w:sz w:val="36"/>
          <w:szCs w:val="36"/>
        </w:rPr>
        <w:t>., млн. руб.</w:t>
      </w:r>
    </w:p>
    <w:p w:rsidR="00E51368" w:rsidRDefault="00E51368" w:rsidP="00E51368">
      <w:pPr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72430" cy="7799942"/>
            <wp:effectExtent l="1905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C52CB" w:rsidRDefault="009C52CB" w:rsidP="00E51368">
      <w:pPr>
        <w:ind w:right="-143"/>
        <w:jc w:val="center"/>
        <w:rPr>
          <w:rFonts w:ascii="Times New Roman" w:hAnsi="Times New Roman" w:cs="Times New Roman"/>
          <w:sz w:val="32"/>
          <w:szCs w:val="32"/>
        </w:rPr>
      </w:pPr>
    </w:p>
    <w:p w:rsidR="006E013D" w:rsidRDefault="006E013D" w:rsidP="00E51368">
      <w:pPr>
        <w:ind w:right="-143"/>
        <w:jc w:val="center"/>
        <w:rPr>
          <w:rFonts w:ascii="Times New Roman" w:hAnsi="Times New Roman" w:cs="Times New Roman"/>
          <w:sz w:val="32"/>
          <w:szCs w:val="32"/>
        </w:rPr>
      </w:pPr>
    </w:p>
    <w:p w:rsidR="00E51368" w:rsidRPr="008E3F43" w:rsidRDefault="004036E9" w:rsidP="00E51368">
      <w:pPr>
        <w:ind w:right="-143"/>
        <w:jc w:val="center"/>
        <w:rPr>
          <w:rFonts w:ascii="Times New Roman" w:hAnsi="Times New Roman" w:cs="Times New Roman"/>
          <w:sz w:val="36"/>
          <w:szCs w:val="36"/>
        </w:rPr>
      </w:pPr>
      <w:r w:rsidRPr="008E3F43">
        <w:rPr>
          <w:rFonts w:ascii="Times New Roman" w:hAnsi="Times New Roman" w:cs="Times New Roman"/>
          <w:sz w:val="36"/>
          <w:szCs w:val="36"/>
        </w:rPr>
        <w:lastRenderedPageBreak/>
        <w:t>С</w:t>
      </w:r>
      <w:r w:rsidR="00E51368" w:rsidRPr="008E3F43">
        <w:rPr>
          <w:rFonts w:ascii="Times New Roman" w:hAnsi="Times New Roman" w:cs="Times New Roman"/>
          <w:sz w:val="36"/>
          <w:szCs w:val="36"/>
        </w:rPr>
        <w:t xml:space="preserve">труктура неналоговых доходов бюджета </w:t>
      </w:r>
      <w:r w:rsidR="00E23E34" w:rsidRPr="008E3F43">
        <w:rPr>
          <w:rFonts w:ascii="Times New Roman" w:hAnsi="Times New Roman" w:cs="Times New Roman"/>
          <w:sz w:val="36"/>
          <w:szCs w:val="36"/>
        </w:rPr>
        <w:t>на 201</w:t>
      </w:r>
      <w:r w:rsidR="00FE1844">
        <w:rPr>
          <w:rFonts w:ascii="Times New Roman" w:hAnsi="Times New Roman" w:cs="Times New Roman"/>
          <w:sz w:val="36"/>
          <w:szCs w:val="36"/>
        </w:rPr>
        <w:t>9-2022</w:t>
      </w:r>
      <w:r w:rsidR="00E23E34" w:rsidRPr="008E3F43">
        <w:rPr>
          <w:rFonts w:ascii="Times New Roman" w:hAnsi="Times New Roman" w:cs="Times New Roman"/>
          <w:sz w:val="36"/>
          <w:szCs w:val="36"/>
        </w:rPr>
        <w:t xml:space="preserve"> гг</w:t>
      </w:r>
      <w:r w:rsidR="00316F18" w:rsidRPr="008E3F43">
        <w:rPr>
          <w:rFonts w:ascii="Times New Roman" w:hAnsi="Times New Roman" w:cs="Times New Roman"/>
          <w:sz w:val="36"/>
          <w:szCs w:val="36"/>
        </w:rPr>
        <w:t>.</w:t>
      </w:r>
      <w:r w:rsidR="00E51368" w:rsidRPr="008E3F43">
        <w:rPr>
          <w:rFonts w:ascii="Times New Roman" w:hAnsi="Times New Roman" w:cs="Times New Roman"/>
          <w:sz w:val="36"/>
          <w:szCs w:val="36"/>
        </w:rPr>
        <w:t>, млн. руб.</w:t>
      </w:r>
    </w:p>
    <w:p w:rsidR="00E51368" w:rsidRDefault="00E51368" w:rsidP="00E51368">
      <w:pPr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51670" cy="7260116"/>
            <wp:effectExtent l="1905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51368" w:rsidRPr="00E51368" w:rsidRDefault="00E51368" w:rsidP="00E51368">
      <w:pPr>
        <w:ind w:right="-143"/>
        <w:jc w:val="center"/>
        <w:rPr>
          <w:rFonts w:ascii="Times New Roman" w:hAnsi="Times New Roman" w:cs="Times New Roman"/>
          <w:sz w:val="28"/>
          <w:szCs w:val="28"/>
        </w:rPr>
      </w:pPr>
    </w:p>
    <w:sectPr w:rsidR="00E51368" w:rsidRPr="00E51368" w:rsidSect="00377155">
      <w:pgSz w:w="11906" w:h="16838"/>
      <w:pgMar w:top="51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F665A1"/>
    <w:rsid w:val="0015777A"/>
    <w:rsid w:val="001F1A69"/>
    <w:rsid w:val="001F2FAF"/>
    <w:rsid w:val="00234C2B"/>
    <w:rsid w:val="002B05A1"/>
    <w:rsid w:val="002C24D9"/>
    <w:rsid w:val="002F168E"/>
    <w:rsid w:val="00316F18"/>
    <w:rsid w:val="0032202B"/>
    <w:rsid w:val="00322E5A"/>
    <w:rsid w:val="00377155"/>
    <w:rsid w:val="003F71D5"/>
    <w:rsid w:val="004036E9"/>
    <w:rsid w:val="004E0EF3"/>
    <w:rsid w:val="00533994"/>
    <w:rsid w:val="005B289D"/>
    <w:rsid w:val="006B5873"/>
    <w:rsid w:val="006E013D"/>
    <w:rsid w:val="008E3F43"/>
    <w:rsid w:val="008F3742"/>
    <w:rsid w:val="00951762"/>
    <w:rsid w:val="009B0263"/>
    <w:rsid w:val="009C52CB"/>
    <w:rsid w:val="00B26024"/>
    <w:rsid w:val="00BA3526"/>
    <w:rsid w:val="00C53BB6"/>
    <w:rsid w:val="00C840B7"/>
    <w:rsid w:val="00CD3F03"/>
    <w:rsid w:val="00D75B44"/>
    <w:rsid w:val="00DA2354"/>
    <w:rsid w:val="00DB6D0F"/>
    <w:rsid w:val="00E1571E"/>
    <w:rsid w:val="00E23E34"/>
    <w:rsid w:val="00E51368"/>
    <w:rsid w:val="00ED332B"/>
    <w:rsid w:val="00F665A1"/>
    <w:rsid w:val="00FE1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B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5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7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B05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2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Налоговые</c:v>
                </c:pt>
              </c:strCache>
            </c:strRef>
          </c:tx>
          <c:dLbls>
            <c:txPr>
              <a:bodyPr/>
              <a:lstStyle/>
              <a:p>
                <a:pPr>
                  <a:defRPr sz="16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2019(факт)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</c:strCache>
            </c:strRef>
          </c:cat>
          <c:val>
            <c:numRef>
              <c:f>Лист1!$B$2:$B$5</c:f>
              <c:numCache>
                <c:formatCode>Основной</c:formatCode>
                <c:ptCount val="4"/>
                <c:pt idx="0">
                  <c:v>316.39999999999981</c:v>
                </c:pt>
                <c:pt idx="1">
                  <c:v>368.1</c:v>
                </c:pt>
                <c:pt idx="2">
                  <c:v>360.2</c:v>
                </c:pt>
                <c:pt idx="3">
                  <c:v>359.1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Неналоговые</c:v>
                </c:pt>
              </c:strCache>
            </c:strRef>
          </c:tx>
          <c:dLbls>
            <c:txPr>
              <a:bodyPr/>
              <a:lstStyle/>
              <a:p>
                <a:pPr>
                  <a:defRPr sz="1600" b="1">
                    <a:solidFill>
                      <a:schemeClr val="tx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2019(факт)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</c:strCache>
            </c:strRef>
          </c:cat>
          <c:val>
            <c:numRef>
              <c:f>Лист1!$C$2:$C$5</c:f>
              <c:numCache>
                <c:formatCode>Основной</c:formatCode>
                <c:ptCount val="4"/>
                <c:pt idx="0">
                  <c:v>40.9</c:v>
                </c:pt>
                <c:pt idx="1">
                  <c:v>22.9</c:v>
                </c:pt>
                <c:pt idx="2">
                  <c:v>23.2</c:v>
                </c:pt>
                <c:pt idx="3">
                  <c:v>22.9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Безвозмездные</c:v>
                </c:pt>
              </c:strCache>
            </c:strRef>
          </c:tx>
          <c:dLbls>
            <c:txPr>
              <a:bodyPr/>
              <a:lstStyle/>
              <a:p>
                <a:pPr>
                  <a:defRPr sz="14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2019(факт)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</c:strCache>
            </c:strRef>
          </c:cat>
          <c:val>
            <c:numRef>
              <c:f>Лист1!$D$2:$D$5</c:f>
              <c:numCache>
                <c:formatCode>Основной</c:formatCode>
                <c:ptCount val="4"/>
                <c:pt idx="0">
                  <c:v>1075.2</c:v>
                </c:pt>
                <c:pt idx="1">
                  <c:v>813.2</c:v>
                </c:pt>
                <c:pt idx="2">
                  <c:v>830.3</c:v>
                </c:pt>
                <c:pt idx="3">
                  <c:v>737.8</c:v>
                </c:pt>
              </c:numCache>
            </c:numRef>
          </c:val>
        </c:ser>
        <c:shape val="cylinder"/>
        <c:axId val="83777792"/>
        <c:axId val="83808256"/>
        <c:axId val="0"/>
      </c:bar3DChart>
      <c:catAx>
        <c:axId val="83777792"/>
        <c:scaling>
          <c:orientation val="minMax"/>
        </c:scaling>
        <c:axPos val="b"/>
        <c:numFmt formatCode="Основной" sourceLinked="1"/>
        <c:tickLblPos val="nextTo"/>
        <c:txPr>
          <a:bodyPr/>
          <a:lstStyle/>
          <a:p>
            <a:pPr>
              <a:defRPr sz="14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3808256"/>
        <c:crosses val="autoZero"/>
        <c:auto val="1"/>
        <c:lblAlgn val="ctr"/>
        <c:lblOffset val="100"/>
      </c:catAx>
      <c:valAx>
        <c:axId val="83808256"/>
        <c:scaling>
          <c:orientation val="minMax"/>
        </c:scaling>
        <c:axPos val="l"/>
        <c:majorGridlines/>
        <c:numFmt formatCode="Основной" sourceLinked="1"/>
        <c:tickLblPos val="nextTo"/>
        <c:crossAx val="83777792"/>
        <c:crosses val="autoZero"/>
        <c:crossBetween val="between"/>
      </c:valAx>
    </c:plotArea>
    <c:legend>
      <c:legendPos val="r"/>
      <c:layout/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0"/>
      <c:rotY val="30"/>
      <c:perspective val="30"/>
    </c:view3D>
    <c:plotArea>
      <c:layout/>
      <c:bar3D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2019</c:v>
                </c:pt>
              </c:strCache>
            </c:strRef>
          </c:tx>
          <c:dLbls>
            <c:dLbl>
              <c:idx val="0"/>
              <c:layout>
                <c:manualLayout>
                  <c:x val="5.2801269492191494E-2"/>
                  <c:y val="0"/>
                </c:manualLayout>
              </c:layout>
              <c:showVal val="1"/>
            </c:dLbl>
            <c:dLbl>
              <c:idx val="1"/>
              <c:layout>
                <c:manualLayout>
                  <c:x val="7.3921777289068069E-2"/>
                  <c:y val="0"/>
                </c:manualLayout>
              </c:layout>
              <c:showVal val="1"/>
            </c:dLbl>
            <c:dLbl>
              <c:idx val="2"/>
              <c:layout>
                <c:manualLayout>
                  <c:x val="4.0128964814065526E-2"/>
                  <c:y val="0"/>
                </c:manualLayout>
              </c:layout>
              <c:showVal val="1"/>
            </c:dLbl>
            <c:dLbl>
              <c:idx val="3"/>
              <c:layout>
                <c:manualLayout>
                  <c:x val="2.7456660135939576E-2"/>
                  <c:y val="0"/>
                </c:manualLayout>
              </c:layout>
              <c:showVal val="1"/>
            </c:dLbl>
            <c:dLbl>
              <c:idx val="4"/>
              <c:layout>
                <c:manualLayout>
                  <c:x val="4.0128964814065526E-2"/>
                  <c:y val="0"/>
                </c:manualLayout>
              </c:layout>
              <c:showVal val="1"/>
            </c:dLbl>
            <c:dLbl>
              <c:idx val="5"/>
              <c:layout>
                <c:manualLayout>
                  <c:x val="4.8577167932816176E-2"/>
                  <c:y val="0"/>
                </c:manualLayout>
              </c:layout>
              <c:showVal val="1"/>
            </c:dLbl>
            <c:delete val="1"/>
          </c:dLbls>
          <c:cat>
            <c:strRef>
              <c:f>Лист1!$A$2:$A$7</c:f>
              <c:strCache>
                <c:ptCount val="6"/>
                <c:pt idx="0">
                  <c:v>Налог на прибыль</c:v>
                </c:pt>
                <c:pt idx="1">
                  <c:v>НДФЛ</c:v>
                </c:pt>
                <c:pt idx="2">
                  <c:v>Акцизы</c:v>
                </c:pt>
                <c:pt idx="3">
                  <c:v>Налоги на сов.дох.</c:v>
                </c:pt>
                <c:pt idx="4">
                  <c:v>Налоги на имущестиво</c:v>
                </c:pt>
                <c:pt idx="5">
                  <c:v>госпошлина</c:v>
                </c:pt>
              </c:strCache>
            </c:strRef>
          </c:cat>
          <c:val>
            <c:numRef>
              <c:f>Лист1!$B$2:$B$7</c:f>
              <c:numCache>
                <c:formatCode>Основной</c:formatCode>
                <c:ptCount val="6"/>
                <c:pt idx="0">
                  <c:v>24.4</c:v>
                </c:pt>
                <c:pt idx="1">
                  <c:v>198.2</c:v>
                </c:pt>
                <c:pt idx="2">
                  <c:v>21.8</c:v>
                </c:pt>
                <c:pt idx="3">
                  <c:v>14.4</c:v>
                </c:pt>
                <c:pt idx="4">
                  <c:v>47.05</c:v>
                </c:pt>
                <c:pt idx="5">
                  <c:v>10.6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2020</c:v>
                </c:pt>
              </c:strCache>
            </c:strRef>
          </c:tx>
          <c:dLbls>
            <c:dLbl>
              <c:idx val="0"/>
              <c:layout>
                <c:manualLayout>
                  <c:x val="2.3668636177324006E-2"/>
                  <c:y val="0"/>
                </c:manualLayout>
              </c:layout>
              <c:showVal val="1"/>
            </c:dLbl>
            <c:dLbl>
              <c:idx val="1"/>
              <c:layout>
                <c:manualLayout>
                  <c:x val="4.0128964814065526E-2"/>
                  <c:y val="0"/>
                </c:manualLayout>
              </c:layout>
              <c:showVal val="1"/>
            </c:dLbl>
            <c:dLbl>
              <c:idx val="2"/>
              <c:layout>
                <c:manualLayout>
                  <c:x val="3.5904863254690209E-2"/>
                  <c:y val="0"/>
                </c:manualLayout>
              </c:layout>
              <c:showVal val="1"/>
            </c:dLbl>
            <c:dLbl>
              <c:idx val="3"/>
              <c:layout>
                <c:manualLayout>
                  <c:x val="2.9568710915627232E-2"/>
                  <c:y val="0"/>
                </c:manualLayout>
              </c:layout>
              <c:showVal val="1"/>
            </c:dLbl>
            <c:dLbl>
              <c:idx val="4"/>
              <c:layout>
                <c:manualLayout>
                  <c:x val="2.7456660135939576E-2"/>
                  <c:y val="0"/>
                </c:manualLayout>
              </c:layout>
              <c:showVal val="1"/>
            </c:dLbl>
            <c:dLbl>
              <c:idx val="5"/>
              <c:layout>
                <c:manualLayout>
                  <c:x val="3.8016914034377867E-2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Лист1!$A$2:$A$7</c:f>
              <c:strCache>
                <c:ptCount val="6"/>
                <c:pt idx="0">
                  <c:v>Налог на прибыль</c:v>
                </c:pt>
                <c:pt idx="1">
                  <c:v>НДФЛ</c:v>
                </c:pt>
                <c:pt idx="2">
                  <c:v>Акцизы</c:v>
                </c:pt>
                <c:pt idx="3">
                  <c:v>Налоги на сов.дох.</c:v>
                </c:pt>
                <c:pt idx="4">
                  <c:v>Налоги на имущестиво</c:v>
                </c:pt>
                <c:pt idx="5">
                  <c:v>госпошлина</c:v>
                </c:pt>
              </c:strCache>
            </c:strRef>
          </c:cat>
          <c:val>
            <c:numRef>
              <c:f>Лист1!$C$2:$C$7</c:f>
              <c:numCache>
                <c:formatCode>Основной</c:formatCode>
                <c:ptCount val="6"/>
                <c:pt idx="0">
                  <c:v>42.8</c:v>
                </c:pt>
                <c:pt idx="1">
                  <c:v>221.6</c:v>
                </c:pt>
                <c:pt idx="2">
                  <c:v>22.330000000000005</c:v>
                </c:pt>
                <c:pt idx="3">
                  <c:v>18.2</c:v>
                </c:pt>
                <c:pt idx="4">
                  <c:v>51.2</c:v>
                </c:pt>
                <c:pt idx="5">
                  <c:v>12.03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2021</c:v>
                </c:pt>
              </c:strCache>
            </c:strRef>
          </c:tx>
          <c:dLbls>
            <c:dLbl>
              <c:idx val="0"/>
              <c:layout>
                <c:manualLayout>
                  <c:x val="2.1611099680352804E-2"/>
                  <c:y val="0"/>
                </c:manualLayout>
              </c:layout>
              <c:showVal val="1"/>
            </c:dLbl>
            <c:dLbl>
              <c:idx val="1"/>
              <c:layout>
                <c:manualLayout>
                  <c:x val="4.0128964814065526E-2"/>
                  <c:y val="3.2564340534283406E-3"/>
                </c:manualLayout>
              </c:layout>
              <c:showVal val="1"/>
            </c:dLbl>
            <c:dLbl>
              <c:idx val="2"/>
              <c:layout>
                <c:manualLayout>
                  <c:x val="2.9568710915627232E-2"/>
                  <c:y val="-5.9700601313078863E-17"/>
                </c:manualLayout>
              </c:layout>
              <c:showVal val="1"/>
            </c:dLbl>
            <c:dLbl>
              <c:idx val="3"/>
              <c:layout>
                <c:manualLayout>
                  <c:x val="5.2801269492191494E-2"/>
                  <c:y val="0"/>
                </c:manualLayout>
              </c:layout>
              <c:showVal val="1"/>
            </c:dLbl>
            <c:dLbl>
              <c:idx val="4"/>
              <c:layout>
                <c:manualLayout>
                  <c:x val="3.3792812475002564E-2"/>
                  <c:y val="0"/>
                </c:manualLayout>
              </c:layout>
              <c:showVal val="1"/>
            </c:dLbl>
            <c:dLbl>
              <c:idx val="5"/>
              <c:layout>
                <c:manualLayout>
                  <c:x val="3.8016914034377867E-2"/>
                  <c:y val="3.2564340534283406E-3"/>
                </c:manualLayout>
              </c:layout>
              <c:showVal val="1"/>
            </c:dLbl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Лист1!$A$2:$A$7</c:f>
              <c:strCache>
                <c:ptCount val="6"/>
                <c:pt idx="0">
                  <c:v>Налог на прибыль</c:v>
                </c:pt>
                <c:pt idx="1">
                  <c:v>НДФЛ</c:v>
                </c:pt>
                <c:pt idx="2">
                  <c:v>Акцизы</c:v>
                </c:pt>
                <c:pt idx="3">
                  <c:v>Налоги на сов.дох.</c:v>
                </c:pt>
                <c:pt idx="4">
                  <c:v>Налоги на имущестиво</c:v>
                </c:pt>
                <c:pt idx="5">
                  <c:v>госпошлина</c:v>
                </c:pt>
              </c:strCache>
            </c:strRef>
          </c:cat>
          <c:val>
            <c:numRef>
              <c:f>Лист1!$D$2:$D$7</c:f>
              <c:numCache>
                <c:formatCode>Основной</c:formatCode>
                <c:ptCount val="6"/>
                <c:pt idx="0">
                  <c:v>44.9</c:v>
                </c:pt>
                <c:pt idx="1">
                  <c:v>223.8</c:v>
                </c:pt>
                <c:pt idx="2">
                  <c:v>23.13000000000001</c:v>
                </c:pt>
                <c:pt idx="3">
                  <c:v>4.9000000000000004</c:v>
                </c:pt>
                <c:pt idx="4">
                  <c:v>51.4</c:v>
                </c:pt>
                <c:pt idx="5">
                  <c:v>12.1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2022</c:v>
                </c:pt>
              </c:strCache>
            </c:strRef>
          </c:tx>
          <c:dLbls>
            <c:dLbl>
              <c:idx val="0"/>
              <c:layout>
                <c:manualLayout>
                  <c:x val="3.1680761695314891E-2"/>
                  <c:y val="0"/>
                </c:manualLayout>
              </c:layout>
              <c:showVal val="1"/>
            </c:dLbl>
            <c:dLbl>
              <c:idx val="1"/>
              <c:layout>
                <c:manualLayout>
                  <c:x val="4.4353066373440865E-2"/>
                  <c:y val="0"/>
                </c:manualLayout>
              </c:layout>
              <c:showVal val="1"/>
            </c:dLbl>
            <c:dLbl>
              <c:idx val="2"/>
              <c:layout>
                <c:manualLayout>
                  <c:x val="3.1680761695314891E-2"/>
                  <c:y val="0"/>
                </c:manualLayout>
              </c:layout>
              <c:showVal val="1"/>
            </c:dLbl>
            <c:dLbl>
              <c:idx val="3"/>
              <c:layout>
                <c:manualLayout>
                  <c:x val="5.4913320271879139E-2"/>
                  <c:y val="0"/>
                </c:manualLayout>
              </c:layout>
              <c:showVal val="1"/>
            </c:dLbl>
            <c:dLbl>
              <c:idx val="4"/>
              <c:layout>
                <c:manualLayout>
                  <c:x val="3.3751901885096795E-2"/>
                  <c:y val="2.7446354415666891E-3"/>
                </c:manualLayout>
              </c:layout>
              <c:showVal val="1"/>
            </c:dLbl>
            <c:dLbl>
              <c:idx val="5"/>
              <c:layout>
                <c:manualLayout>
                  <c:x val="2.5296526676136188E-2"/>
                  <c:y val="-9.2181400505342865E-3"/>
                </c:manualLayout>
              </c:layout>
              <c:showVal val="1"/>
            </c:dLbl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Лист1!$A$2:$A$7</c:f>
              <c:strCache>
                <c:ptCount val="6"/>
                <c:pt idx="0">
                  <c:v>Налог на прибыль</c:v>
                </c:pt>
                <c:pt idx="1">
                  <c:v>НДФЛ</c:v>
                </c:pt>
                <c:pt idx="2">
                  <c:v>Акцизы</c:v>
                </c:pt>
                <c:pt idx="3">
                  <c:v>Налоги на сов.дох.</c:v>
                </c:pt>
                <c:pt idx="4">
                  <c:v>Налоги на имущестиво</c:v>
                </c:pt>
                <c:pt idx="5">
                  <c:v>госпошлина</c:v>
                </c:pt>
              </c:strCache>
            </c:strRef>
          </c:cat>
          <c:val>
            <c:numRef>
              <c:f>Лист1!$E$2:$E$7</c:f>
              <c:numCache>
                <c:formatCode>Основной</c:formatCode>
                <c:ptCount val="6"/>
                <c:pt idx="0">
                  <c:v>45.7</c:v>
                </c:pt>
                <c:pt idx="1">
                  <c:v>225.9</c:v>
                </c:pt>
                <c:pt idx="2">
                  <c:v>24.08</c:v>
                </c:pt>
                <c:pt idx="3">
                  <c:v>0.2</c:v>
                </c:pt>
                <c:pt idx="4">
                  <c:v>51.7</c:v>
                </c:pt>
                <c:pt idx="5">
                  <c:v>12.2</c:v>
                </c:pt>
              </c:numCache>
            </c:numRef>
          </c:val>
        </c:ser>
        <c:gapWidth val="100"/>
        <c:shape val="cylinder"/>
        <c:axId val="84148224"/>
        <c:axId val="84149760"/>
        <c:axId val="0"/>
      </c:bar3DChart>
      <c:catAx>
        <c:axId val="84148224"/>
        <c:scaling>
          <c:orientation val="minMax"/>
        </c:scaling>
        <c:axPos val="l"/>
        <c:tickLblPos val="nextTo"/>
        <c:txPr>
          <a:bodyPr/>
          <a:lstStyle/>
          <a:p>
            <a:pPr>
              <a:defRPr sz="14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4149760"/>
        <c:crosses val="autoZero"/>
        <c:auto val="1"/>
        <c:lblAlgn val="ctr"/>
        <c:lblOffset val="100"/>
      </c:catAx>
      <c:valAx>
        <c:axId val="84149760"/>
        <c:scaling>
          <c:orientation val="minMax"/>
        </c:scaling>
        <c:axPos val="b"/>
        <c:majorGridlines/>
        <c:numFmt formatCode="Основной" sourceLinked="1"/>
        <c:tickLblPos val="nextTo"/>
        <c:crossAx val="84148224"/>
        <c:crosses val="autoZero"/>
        <c:crossBetween val="between"/>
      </c:valAx>
    </c:plotArea>
    <c:legend>
      <c:legendPos val="r"/>
      <c:layout/>
      <c:txPr>
        <a:bodyPr/>
        <a:lstStyle/>
        <a:p>
          <a:pPr>
            <a:defRPr sz="14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bar3D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2019</c:v>
                </c:pt>
              </c:strCache>
            </c:strRef>
          </c:tx>
          <c:dLbls>
            <c:dLbl>
              <c:idx val="1"/>
              <c:layout>
                <c:manualLayout>
                  <c:x val="2.8214167921294282E-2"/>
                  <c:y val="-1.7492833447840242E-3"/>
                </c:manualLayout>
              </c:layout>
              <c:showVal val="1"/>
            </c:dLbl>
            <c:dLbl>
              <c:idx val="2"/>
              <c:layout>
                <c:manualLayout>
                  <c:x val="3.9065770967945952E-2"/>
                  <c:y val="1.7492833447840242E-3"/>
                </c:manualLayout>
              </c:layout>
              <c:showVal val="1"/>
            </c:dLbl>
            <c:dLbl>
              <c:idx val="3"/>
              <c:layout>
                <c:manualLayout>
                  <c:x val="3.0384488530624591E-2"/>
                  <c:y val="0"/>
                </c:manualLayout>
              </c:layout>
              <c:showVal val="1"/>
            </c:dLbl>
            <c:dLbl>
              <c:idx val="4"/>
              <c:layout>
                <c:manualLayout>
                  <c:x val="2.8214167921294376E-2"/>
                  <c:y val="1.7492833447840242E-3"/>
                </c:manualLayout>
              </c:layout>
              <c:showVal val="1"/>
            </c:dLbl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Доходы от использования имущество</c:v>
                </c:pt>
                <c:pt idx="1">
                  <c:v>Платежи при польз.прир.ресурсами</c:v>
                </c:pt>
                <c:pt idx="2">
                  <c:v>Штрафы</c:v>
                </c:pt>
                <c:pt idx="3">
                  <c:v>Продажа имущества и земли</c:v>
                </c:pt>
                <c:pt idx="4">
                  <c:v>Прочие неналоговые</c:v>
                </c:pt>
              </c:strCache>
            </c:strRef>
          </c:cat>
          <c:val>
            <c:numRef>
              <c:f>Лист1!$B$2:$B$6</c:f>
              <c:numCache>
                <c:formatCode>Основной</c:formatCode>
                <c:ptCount val="5"/>
                <c:pt idx="0">
                  <c:v>28.3</c:v>
                </c:pt>
                <c:pt idx="1">
                  <c:v>3.5</c:v>
                </c:pt>
                <c:pt idx="2">
                  <c:v>3.2</c:v>
                </c:pt>
                <c:pt idx="3">
                  <c:v>3.8</c:v>
                </c:pt>
                <c:pt idx="4">
                  <c:v>2.1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2020</c:v>
                </c:pt>
              </c:strCache>
            </c:strRef>
          </c:tx>
          <c:dLbls>
            <c:dLbl>
              <c:idx val="0"/>
              <c:layout>
                <c:manualLayout>
                  <c:x val="3.6895450358615592E-2"/>
                  <c:y val="-3.4985666895680453E-3"/>
                </c:manualLayout>
              </c:layout>
              <c:showVal val="1"/>
            </c:dLbl>
            <c:dLbl>
              <c:idx val="1"/>
              <c:layout>
                <c:manualLayout>
                  <c:x val="3.4725129749285238E-2"/>
                  <c:y val="-1.7492833447840242E-3"/>
                </c:manualLayout>
              </c:layout>
              <c:showVal val="1"/>
            </c:dLbl>
            <c:dLbl>
              <c:idx val="2"/>
              <c:layout>
                <c:manualLayout>
                  <c:x val="5.2087694623927906E-2"/>
                  <c:y val="1.7492833447840873E-3"/>
                </c:manualLayout>
              </c:layout>
              <c:showVal val="1"/>
            </c:dLbl>
            <c:dLbl>
              <c:idx val="3"/>
              <c:layout>
                <c:manualLayout>
                  <c:x val="3.9065770967945952E-2"/>
                  <c:y val="-5.2478500343520734E-3"/>
                </c:manualLayout>
              </c:layout>
              <c:showVal val="1"/>
            </c:dLbl>
            <c:dLbl>
              <c:idx val="4"/>
              <c:layout>
                <c:manualLayout>
                  <c:x val="4.1236091577276285E-2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Доходы от использования имущество</c:v>
                </c:pt>
                <c:pt idx="1">
                  <c:v>Платежи при польз.прир.ресурсами</c:v>
                </c:pt>
                <c:pt idx="2">
                  <c:v>Штрафы</c:v>
                </c:pt>
                <c:pt idx="3">
                  <c:v>Продажа имущества и земли</c:v>
                </c:pt>
                <c:pt idx="4">
                  <c:v>Прочие неналоговые</c:v>
                </c:pt>
              </c:strCache>
            </c:strRef>
          </c:cat>
          <c:val>
            <c:numRef>
              <c:f>Лист1!$C$2:$C$6</c:f>
              <c:numCache>
                <c:formatCode>Основной</c:formatCode>
                <c:ptCount val="5"/>
                <c:pt idx="0">
                  <c:v>14.5</c:v>
                </c:pt>
                <c:pt idx="1">
                  <c:v>3.8</c:v>
                </c:pt>
                <c:pt idx="2">
                  <c:v>1.1000000000000001</c:v>
                </c:pt>
                <c:pt idx="3">
                  <c:v>3.3</c:v>
                </c:pt>
                <c:pt idx="4">
                  <c:v>0.3000000000000001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2021</c:v>
                </c:pt>
              </c:strCache>
            </c:strRef>
          </c:tx>
          <c:dLbls>
            <c:dLbl>
              <c:idx val="0"/>
              <c:layout>
                <c:manualLayout>
                  <c:x val="3.0384488530624591E-2"/>
                  <c:y val="0"/>
                </c:manualLayout>
              </c:layout>
              <c:showVal val="1"/>
            </c:dLbl>
            <c:dLbl>
              <c:idx val="1"/>
              <c:layout>
                <c:manualLayout>
                  <c:x val="3.2554809139954941E-2"/>
                  <c:y val="0"/>
                </c:manualLayout>
              </c:layout>
              <c:showVal val="1"/>
            </c:dLbl>
            <c:dLbl>
              <c:idx val="2"/>
              <c:layout>
                <c:manualLayout>
                  <c:x val="5.2087694623927906E-2"/>
                  <c:y val="0"/>
                </c:manualLayout>
              </c:layout>
              <c:showVal val="1"/>
            </c:dLbl>
            <c:dLbl>
              <c:idx val="3"/>
              <c:layout>
                <c:manualLayout>
                  <c:x val="3.2554809139954941E-2"/>
                  <c:y val="0"/>
                </c:manualLayout>
              </c:layout>
              <c:showVal val="1"/>
            </c:dLbl>
            <c:dLbl>
              <c:idx val="4"/>
              <c:layout>
                <c:manualLayout>
                  <c:x val="3.2554809139954941E-2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Доходы от использования имущество</c:v>
                </c:pt>
                <c:pt idx="1">
                  <c:v>Платежи при польз.прир.ресурсами</c:v>
                </c:pt>
                <c:pt idx="2">
                  <c:v>Штрафы</c:v>
                </c:pt>
                <c:pt idx="3">
                  <c:v>Продажа имущества и земли</c:v>
                </c:pt>
                <c:pt idx="4">
                  <c:v>Прочие неналоговые</c:v>
                </c:pt>
              </c:strCache>
            </c:strRef>
          </c:cat>
          <c:val>
            <c:numRef>
              <c:f>Лист1!$D$2:$D$6</c:f>
              <c:numCache>
                <c:formatCode>Основной</c:formatCode>
                <c:ptCount val="5"/>
                <c:pt idx="0">
                  <c:v>14.5</c:v>
                </c:pt>
                <c:pt idx="1">
                  <c:v>3.8</c:v>
                </c:pt>
                <c:pt idx="2">
                  <c:v>1.1000000000000001</c:v>
                </c:pt>
                <c:pt idx="3">
                  <c:v>3.5</c:v>
                </c:pt>
                <c:pt idx="4">
                  <c:v>0.3000000000000001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2022</c:v>
                </c:pt>
              </c:strCache>
            </c:strRef>
          </c:tx>
          <c:dLbls>
            <c:dLbl>
              <c:idx val="0"/>
              <c:layout>
                <c:manualLayout>
                  <c:x val="2.8214167921294282E-2"/>
                  <c:y val="0"/>
                </c:manualLayout>
              </c:layout>
              <c:showVal val="1"/>
            </c:dLbl>
            <c:dLbl>
              <c:idx val="1"/>
              <c:layout>
                <c:manualLayout>
                  <c:x val="4.1236091577276285E-2"/>
                  <c:y val="0"/>
                </c:manualLayout>
              </c:layout>
              <c:showVal val="1"/>
            </c:dLbl>
            <c:dLbl>
              <c:idx val="2"/>
              <c:layout>
                <c:manualLayout>
                  <c:x val="4.5576732795936901E-2"/>
                  <c:y val="0"/>
                </c:manualLayout>
              </c:layout>
              <c:showVal val="1"/>
            </c:dLbl>
            <c:dLbl>
              <c:idx val="3"/>
              <c:layout>
                <c:manualLayout>
                  <c:x val="3.0384488530624591E-2"/>
                  <c:y val="-3.2069824181028401E-17"/>
                </c:manualLayout>
              </c:layout>
              <c:showVal val="1"/>
            </c:dLbl>
            <c:dLbl>
              <c:idx val="4"/>
              <c:layout>
                <c:manualLayout>
                  <c:x val="3.2554809139954941E-2"/>
                  <c:y val="-1.7492833447840242E-3"/>
                </c:manualLayout>
              </c:layout>
              <c:showVal val="1"/>
            </c:dLbl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Доходы от использования имущество</c:v>
                </c:pt>
                <c:pt idx="1">
                  <c:v>Платежи при польз.прир.ресурсами</c:v>
                </c:pt>
                <c:pt idx="2">
                  <c:v>Штрафы</c:v>
                </c:pt>
                <c:pt idx="3">
                  <c:v>Продажа имущества и земли</c:v>
                </c:pt>
                <c:pt idx="4">
                  <c:v>Прочие неналоговые</c:v>
                </c:pt>
              </c:strCache>
            </c:strRef>
          </c:cat>
          <c:val>
            <c:numRef>
              <c:f>Лист1!$E$2:$E$6</c:f>
              <c:numCache>
                <c:formatCode>Основной</c:formatCode>
                <c:ptCount val="5"/>
                <c:pt idx="0">
                  <c:v>14.5</c:v>
                </c:pt>
                <c:pt idx="1">
                  <c:v>3.8</c:v>
                </c:pt>
                <c:pt idx="2">
                  <c:v>1.1000000000000001</c:v>
                </c:pt>
                <c:pt idx="3">
                  <c:v>3.5</c:v>
                </c:pt>
                <c:pt idx="4">
                  <c:v>0.3000000000000001</c:v>
                </c:pt>
              </c:numCache>
            </c:numRef>
          </c:val>
        </c:ser>
        <c:gapWidth val="100"/>
        <c:shape val="cylinder"/>
        <c:axId val="83827328"/>
        <c:axId val="83825792"/>
        <c:axId val="0"/>
      </c:bar3DChart>
      <c:valAx>
        <c:axId val="83825792"/>
        <c:scaling>
          <c:orientation val="minMax"/>
        </c:scaling>
        <c:axPos val="b"/>
        <c:majorGridlines/>
        <c:numFmt formatCode="Основной" sourceLinked="1"/>
        <c:tickLblPos val="nextTo"/>
        <c:crossAx val="83827328"/>
        <c:crosses val="autoZero"/>
        <c:crossBetween val="between"/>
      </c:valAx>
      <c:catAx>
        <c:axId val="83827328"/>
        <c:scaling>
          <c:orientation val="minMax"/>
        </c:scaling>
        <c:axPos val="l"/>
        <c:tickLblPos val="nextTo"/>
        <c:txPr>
          <a:bodyPr/>
          <a:lstStyle/>
          <a:p>
            <a:pPr>
              <a:defRPr sz="16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3825792"/>
        <c:crosses val="autoZero"/>
        <c:auto val="1"/>
        <c:lblAlgn val="ctr"/>
        <c:lblOffset val="100"/>
      </c:catAx>
    </c:plotArea>
    <c:legend>
      <c:legendPos val="r"/>
      <c:layout/>
      <c:txPr>
        <a:bodyPr/>
        <a:lstStyle/>
        <a:p>
          <a:pPr>
            <a:defRPr sz="14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Shmakova</dc:creator>
  <cp:lastModifiedBy>Shmakova</cp:lastModifiedBy>
  <cp:revision>20</cp:revision>
  <dcterms:created xsi:type="dcterms:W3CDTF">2019-02-13T08:14:00Z</dcterms:created>
  <dcterms:modified xsi:type="dcterms:W3CDTF">2020-03-11T04:18:00Z</dcterms:modified>
</cp:coreProperties>
</file>