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A5" w:rsidRPr="00A443A5" w:rsidRDefault="00A80264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Основные  параметры бюджета города Назарово на 2019-2021гг. в соответствии с Решением НГСД «</w:t>
      </w:r>
      <w:r w:rsidR="00A443A5" w:rsidRPr="00A443A5">
        <w:rPr>
          <w:rFonts w:ascii="Times New Roman" w:hAnsi="Times New Roman" w:cs="Times New Roman"/>
          <w:sz w:val="36"/>
          <w:szCs w:val="36"/>
        </w:rPr>
        <w:t>Об утверждении бюджета</w:t>
      </w:r>
    </w:p>
    <w:p w:rsidR="00A443A5" w:rsidRP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городского округа города Назарово</w:t>
      </w:r>
    </w:p>
    <w:p w:rsidR="00D75B44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443A5">
        <w:rPr>
          <w:rFonts w:ascii="Times New Roman" w:hAnsi="Times New Roman" w:cs="Times New Roman"/>
          <w:sz w:val="36"/>
          <w:szCs w:val="36"/>
        </w:rPr>
        <w:t>на 2019 год и плановый период 2020-2021 годы» № 15-86 от 12.12.2018</w:t>
      </w:r>
      <w:r>
        <w:rPr>
          <w:rFonts w:ascii="Times New Roman" w:hAnsi="Times New Roman" w:cs="Times New Roman"/>
          <w:sz w:val="36"/>
          <w:szCs w:val="36"/>
        </w:rPr>
        <w:t xml:space="preserve">, млн. руб. </w:t>
      </w:r>
    </w:p>
    <w:p w:rsidR="00A443A5" w:rsidRDefault="00A443A5" w:rsidP="00A443A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0173" w:type="dxa"/>
        <w:tblCellMar>
          <w:left w:w="0" w:type="dxa"/>
          <w:right w:w="0" w:type="dxa"/>
        </w:tblCellMar>
        <w:tblLook w:val="04A0"/>
      </w:tblPr>
      <w:tblGrid>
        <w:gridCol w:w="2376"/>
        <w:gridCol w:w="1701"/>
        <w:gridCol w:w="2127"/>
        <w:gridCol w:w="2268"/>
        <w:gridCol w:w="1701"/>
      </w:tblGrid>
      <w:tr w:rsidR="00E80FEE" w:rsidRPr="00A80264" w:rsidTr="00E80FEE">
        <w:trPr>
          <w:trHeight w:val="1061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Параметры бюджета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E80FEE" w:rsidRDefault="00E80FEE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2018 год (факт)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2019 год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2020 год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2021 год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</w:tr>
      <w:tr w:rsidR="00E80FEE" w:rsidRPr="00A80264" w:rsidTr="00E80FEE">
        <w:trPr>
          <w:trHeight w:val="583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Доходы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E80FEE" w:rsidRDefault="00E80FEE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1175,1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1 118,7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1 104,9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1 091,5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</w:tr>
      <w:tr w:rsidR="00E80FEE" w:rsidRPr="00A80264" w:rsidTr="00E80FEE">
        <w:trPr>
          <w:trHeight w:val="579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Расходы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E80FEE" w:rsidRDefault="00E80FEE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1174,0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1 063,7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1 105,4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1 096,8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</w:tr>
      <w:tr w:rsidR="00E80FEE" w:rsidRPr="00A80264" w:rsidTr="00E80FEE">
        <w:trPr>
          <w:trHeight w:val="574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Дефицит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E80FEE" w:rsidRDefault="00E80FEE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0,5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5,3</w:t>
            </w:r>
            <w:r w:rsidRPr="00A80264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</w:tr>
      <w:tr w:rsidR="00E80FEE" w:rsidRPr="00A80264" w:rsidTr="00E80FEE">
        <w:trPr>
          <w:trHeight w:val="712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Профицит</w:t>
            </w:r>
            <w:proofErr w:type="spellEnd"/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E80FEE" w:rsidRDefault="00E80FEE" w:rsidP="00E80FE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0FEE">
              <w:rPr>
                <w:rFonts w:ascii="Times New Roman" w:hAnsi="Times New Roman" w:cs="Times New Roman"/>
                <w:b/>
                <w:sz w:val="36"/>
                <w:szCs w:val="36"/>
              </w:rPr>
              <w:t>1,1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55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0FEE" w:rsidRPr="00A80264" w:rsidRDefault="00E80FEE" w:rsidP="00A8026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8026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0 </w:t>
            </w:r>
          </w:p>
        </w:tc>
      </w:tr>
    </w:tbl>
    <w:p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443A5" w:rsidRDefault="00A443A5" w:rsidP="00A443A5">
      <w:pPr>
        <w:tabs>
          <w:tab w:val="left" w:pos="26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Динамика основных параметров </w:t>
      </w:r>
      <w:r w:rsidRPr="00A443A5">
        <w:rPr>
          <w:rFonts w:ascii="Times New Roman" w:hAnsi="Times New Roman" w:cs="Times New Roman"/>
          <w:sz w:val="36"/>
          <w:szCs w:val="36"/>
        </w:rPr>
        <w:t>бюджета города Назарово на 2019-2021гг.</w:t>
      </w:r>
    </w:p>
    <w:p w:rsidR="00A443A5" w:rsidRDefault="00A443A5" w:rsidP="00A443A5">
      <w:pPr>
        <w:tabs>
          <w:tab w:val="left" w:pos="26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70537" cy="3712684"/>
            <wp:effectExtent l="19050" t="0" r="11163" b="2066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666F7" w:rsidRPr="009763FA" w:rsidRDefault="00B666F7" w:rsidP="009763FA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Toc180061018"/>
      <w:bookmarkStart w:id="1" w:name="_Toc211339836"/>
      <w:bookmarkStart w:id="2" w:name="_Toc211614138"/>
      <w:bookmarkStart w:id="3" w:name="_Toc243212892"/>
      <w:bookmarkStart w:id="4" w:name="_Toc244075555"/>
      <w:bookmarkStart w:id="5" w:name="_Toc277334383"/>
      <w:bookmarkStart w:id="6" w:name="_Toc308530207"/>
      <w:bookmarkStart w:id="7" w:name="_Toc529265199"/>
      <w:r w:rsidRPr="009763FA">
        <w:rPr>
          <w:rFonts w:ascii="Times New Roman" w:hAnsi="Times New Roman" w:cs="Times New Roman"/>
          <w:sz w:val="36"/>
          <w:szCs w:val="36"/>
        </w:rPr>
        <w:lastRenderedPageBreak/>
        <w:t>Безвозмездные поступления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B666F7" w:rsidRPr="009763FA" w:rsidRDefault="00B666F7" w:rsidP="009763FA">
      <w:pPr>
        <w:spacing w:after="120"/>
        <w:jc w:val="center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>Безвозмездные поступления учтены на основании данных Министерства финансов Красноярского края, в том числе:</w:t>
      </w:r>
    </w:p>
    <w:p w:rsidR="00B666F7" w:rsidRPr="009763FA" w:rsidRDefault="00B666F7" w:rsidP="00B666F7">
      <w:pPr>
        <w:spacing w:after="120"/>
        <w:rPr>
          <w:rFonts w:ascii="Times New Roman" w:hAnsi="Times New Roman" w:cs="Times New Roman"/>
          <w:spacing w:val="4"/>
          <w:sz w:val="36"/>
          <w:szCs w:val="36"/>
        </w:rPr>
      </w:pPr>
      <w:r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 </w:t>
      </w:r>
      <w:r w:rsidR="009763FA"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                                                               </w:t>
      </w:r>
      <w:r w:rsidR="009763FA">
        <w:rPr>
          <w:rFonts w:ascii="Times New Roman" w:hAnsi="Times New Roman" w:cs="Times New Roman"/>
          <w:spacing w:val="4"/>
          <w:sz w:val="36"/>
          <w:szCs w:val="36"/>
        </w:rPr>
        <w:t xml:space="preserve">              </w:t>
      </w:r>
      <w:r w:rsidR="009763FA"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 </w:t>
      </w:r>
      <w:r w:rsidRPr="009763FA">
        <w:rPr>
          <w:rFonts w:ascii="Times New Roman" w:hAnsi="Times New Roman" w:cs="Times New Roman"/>
          <w:spacing w:val="4"/>
          <w:sz w:val="36"/>
          <w:szCs w:val="36"/>
        </w:rPr>
        <w:t xml:space="preserve"> тыс.</w:t>
      </w:r>
      <w:r w:rsidR="009763FA">
        <w:rPr>
          <w:rFonts w:ascii="Times New Roman" w:hAnsi="Times New Roman" w:cs="Times New Roman"/>
          <w:spacing w:val="4"/>
          <w:sz w:val="36"/>
          <w:szCs w:val="36"/>
        </w:rPr>
        <w:t xml:space="preserve"> </w:t>
      </w:r>
      <w:r w:rsidRPr="009763FA">
        <w:rPr>
          <w:rFonts w:ascii="Times New Roman" w:hAnsi="Times New Roman" w:cs="Times New Roman"/>
          <w:spacing w:val="4"/>
          <w:sz w:val="36"/>
          <w:szCs w:val="36"/>
        </w:rPr>
        <w:t>руб.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63"/>
        <w:gridCol w:w="3544"/>
      </w:tblGrid>
      <w:tr w:rsidR="00B666F7" w:rsidRPr="009763FA" w:rsidTr="009763FA">
        <w:trPr>
          <w:trHeight w:val="675"/>
        </w:trPr>
        <w:tc>
          <w:tcPr>
            <w:tcW w:w="6063" w:type="dxa"/>
          </w:tcPr>
          <w:p w:rsidR="00B666F7" w:rsidRPr="009763FA" w:rsidRDefault="00B666F7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Наименование МБТ</w:t>
            </w:r>
          </w:p>
        </w:tc>
        <w:tc>
          <w:tcPr>
            <w:tcW w:w="3544" w:type="dxa"/>
          </w:tcPr>
          <w:p w:rsidR="00B666F7" w:rsidRPr="009763FA" w:rsidRDefault="00B666F7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2019 год</w:t>
            </w:r>
          </w:p>
        </w:tc>
      </w:tr>
      <w:tr w:rsidR="00B666F7" w:rsidRPr="009763FA" w:rsidTr="009763FA">
        <w:trPr>
          <w:trHeight w:val="187"/>
        </w:trPr>
        <w:tc>
          <w:tcPr>
            <w:tcW w:w="6063" w:type="dxa"/>
          </w:tcPr>
          <w:p w:rsidR="00B666F7" w:rsidRPr="009763FA" w:rsidRDefault="00B666F7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Субвенции</w:t>
            </w:r>
          </w:p>
        </w:tc>
        <w:tc>
          <w:tcPr>
            <w:tcW w:w="3544" w:type="dxa"/>
          </w:tcPr>
          <w:p w:rsidR="00B666F7" w:rsidRPr="009763FA" w:rsidRDefault="00B666F7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555664,2</w:t>
            </w:r>
          </w:p>
        </w:tc>
      </w:tr>
      <w:tr w:rsidR="00B666F7" w:rsidRPr="009763FA" w:rsidTr="009763FA">
        <w:trPr>
          <w:trHeight w:val="255"/>
        </w:trPr>
        <w:tc>
          <w:tcPr>
            <w:tcW w:w="6063" w:type="dxa"/>
          </w:tcPr>
          <w:p w:rsidR="00B666F7" w:rsidRPr="009763FA" w:rsidRDefault="00B666F7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 xml:space="preserve">Субсидии </w:t>
            </w:r>
          </w:p>
        </w:tc>
        <w:tc>
          <w:tcPr>
            <w:tcW w:w="3544" w:type="dxa"/>
          </w:tcPr>
          <w:p w:rsidR="00B666F7" w:rsidRPr="009763FA" w:rsidRDefault="00B666F7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42455,8</w:t>
            </w:r>
          </w:p>
        </w:tc>
      </w:tr>
      <w:tr w:rsidR="00B666F7" w:rsidRPr="009763FA" w:rsidTr="009763FA">
        <w:trPr>
          <w:trHeight w:val="172"/>
        </w:trPr>
        <w:tc>
          <w:tcPr>
            <w:tcW w:w="6063" w:type="dxa"/>
          </w:tcPr>
          <w:p w:rsidR="00B666F7" w:rsidRPr="009763FA" w:rsidRDefault="00B666F7" w:rsidP="009763FA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Дотации</w:t>
            </w:r>
          </w:p>
        </w:tc>
        <w:tc>
          <w:tcPr>
            <w:tcW w:w="3544" w:type="dxa"/>
          </w:tcPr>
          <w:p w:rsidR="00B666F7" w:rsidRPr="009763FA" w:rsidRDefault="00B666F7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172594,5</w:t>
            </w:r>
          </w:p>
        </w:tc>
      </w:tr>
      <w:tr w:rsidR="00B666F7" w:rsidRPr="009763FA" w:rsidTr="009763FA">
        <w:trPr>
          <w:trHeight w:val="172"/>
        </w:trPr>
        <w:tc>
          <w:tcPr>
            <w:tcW w:w="6063" w:type="dxa"/>
          </w:tcPr>
          <w:p w:rsidR="00B666F7" w:rsidRPr="009763FA" w:rsidRDefault="00B666F7" w:rsidP="00B666F7">
            <w:pPr>
              <w:spacing w:after="120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ВСЕГО</w:t>
            </w:r>
          </w:p>
        </w:tc>
        <w:tc>
          <w:tcPr>
            <w:tcW w:w="3544" w:type="dxa"/>
          </w:tcPr>
          <w:p w:rsidR="00B666F7" w:rsidRPr="009763FA" w:rsidRDefault="00B666F7" w:rsidP="00B666F7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6"/>
                <w:szCs w:val="36"/>
              </w:rPr>
            </w:pPr>
            <w:r w:rsidRPr="009763FA">
              <w:rPr>
                <w:rFonts w:ascii="Times New Roman" w:hAnsi="Times New Roman" w:cs="Times New Roman"/>
                <w:spacing w:val="4"/>
                <w:sz w:val="36"/>
                <w:szCs w:val="36"/>
              </w:rPr>
              <w:t>770714,5</w:t>
            </w:r>
          </w:p>
        </w:tc>
      </w:tr>
    </w:tbl>
    <w:p w:rsidR="00A80264" w:rsidRPr="009763FA" w:rsidRDefault="00A80264" w:rsidP="00A80264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A80264" w:rsidRPr="009763FA" w:rsidSect="00A80264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6F7" w:rsidRDefault="00B666F7" w:rsidP="00A443A5">
      <w:pPr>
        <w:spacing w:after="0" w:line="240" w:lineRule="auto"/>
      </w:pPr>
      <w:r>
        <w:separator/>
      </w:r>
    </w:p>
  </w:endnote>
  <w:endnote w:type="continuationSeparator" w:id="1">
    <w:p w:rsidR="00B666F7" w:rsidRDefault="00B666F7" w:rsidP="00A4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6F7" w:rsidRDefault="00B666F7" w:rsidP="00A443A5">
      <w:pPr>
        <w:spacing w:after="0" w:line="240" w:lineRule="auto"/>
      </w:pPr>
      <w:r>
        <w:separator/>
      </w:r>
    </w:p>
  </w:footnote>
  <w:footnote w:type="continuationSeparator" w:id="1">
    <w:p w:rsidR="00B666F7" w:rsidRDefault="00B666F7" w:rsidP="00A44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264"/>
    <w:rsid w:val="00312217"/>
    <w:rsid w:val="00580BF1"/>
    <w:rsid w:val="009763FA"/>
    <w:rsid w:val="00A443A5"/>
    <w:rsid w:val="00A80264"/>
    <w:rsid w:val="00B666F7"/>
    <w:rsid w:val="00D75B44"/>
    <w:rsid w:val="00E8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44"/>
  </w:style>
  <w:style w:type="paragraph" w:styleId="3">
    <w:name w:val="heading 3"/>
    <w:basedOn w:val="a"/>
    <w:next w:val="a"/>
    <w:link w:val="30"/>
    <w:qFormat/>
    <w:rsid w:val="00B666F7"/>
    <w:pPr>
      <w:keepNext/>
      <w:spacing w:before="240" w:after="60" w:line="240" w:lineRule="auto"/>
      <w:ind w:firstLine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3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43A5"/>
  </w:style>
  <w:style w:type="paragraph" w:styleId="a7">
    <w:name w:val="footer"/>
    <w:basedOn w:val="a"/>
    <w:link w:val="a8"/>
    <w:uiPriority w:val="99"/>
    <w:semiHidden/>
    <w:unhideWhenUsed/>
    <w:rsid w:val="00A4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43A5"/>
  </w:style>
  <w:style w:type="character" w:customStyle="1" w:styleId="30">
    <w:name w:val="Заголовок 3 Знак"/>
    <w:basedOn w:val="a0"/>
    <w:link w:val="3"/>
    <w:rsid w:val="00B666F7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</c:numCache>
            </c:numRef>
          </c:cat>
          <c:val>
            <c:numRef>
              <c:f>Лист1!$B$2:$B$5</c:f>
              <c:numCache>
                <c:formatCode>Основной</c:formatCode>
                <c:ptCount val="4"/>
                <c:pt idx="0">
                  <c:v>1175.0999999999999</c:v>
                </c:pt>
                <c:pt idx="1">
                  <c:v>1118.7</c:v>
                </c:pt>
                <c:pt idx="2">
                  <c:v>1104.9000000000001</c:v>
                </c:pt>
                <c:pt idx="3">
                  <c:v>1091.5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dLbls>
            <c:dLbl>
              <c:idx val="0"/>
              <c:layout>
                <c:manualLayout>
                  <c:x val="5.7923686683025194E-2"/>
                  <c:y val="-1.7735042376976057E-2"/>
                </c:manualLayout>
              </c:layout>
              <c:showVal val="1"/>
            </c:dLbl>
            <c:dLbl>
              <c:idx val="1"/>
              <c:layout>
                <c:manualLayout>
                  <c:x val="6.0240634150346209E-2"/>
                  <c:y val="7.0940169507904254E-3"/>
                </c:manualLayout>
              </c:layout>
              <c:showVal val="1"/>
            </c:dLbl>
            <c:dLbl>
              <c:idx val="2"/>
              <c:layout>
                <c:manualLayout>
                  <c:x val="0.1204812683006924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</c:numCache>
            </c:numRef>
          </c:cat>
          <c:val>
            <c:numRef>
              <c:f>Лист1!$C$2:$C$5</c:f>
              <c:numCache>
                <c:formatCode>Основной</c:formatCode>
                <c:ptCount val="4"/>
                <c:pt idx="0">
                  <c:v>1174</c:v>
                </c:pt>
                <c:pt idx="1">
                  <c:v>1063.7</c:v>
                </c:pt>
                <c:pt idx="2">
                  <c:v>1105.4000000000001</c:v>
                </c:pt>
                <c:pt idx="3">
                  <c:v>1096.8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дефицит(профицит)</c:v>
                </c:pt>
              </c:strCache>
            </c:strRef>
          </c:tx>
          <c:dLbls>
            <c:dLbl>
              <c:idx val="0"/>
              <c:layout>
                <c:manualLayout>
                  <c:x val="2.3427376558100819E-2"/>
                  <c:y val="-1.4190550601743599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Основной</c:formatCode>
                <c:ptCount val="4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</c:numCache>
            </c:numRef>
          </c:cat>
          <c:val>
            <c:numRef>
              <c:f>Лист1!$D$2:$D$5</c:f>
              <c:numCache>
                <c:formatCode>Основной</c:formatCode>
                <c:ptCount val="4"/>
                <c:pt idx="0">
                  <c:v>1.1000000000000001</c:v>
                </c:pt>
                <c:pt idx="1">
                  <c:v>55</c:v>
                </c:pt>
                <c:pt idx="2">
                  <c:v>-0.5</c:v>
                </c:pt>
                <c:pt idx="3">
                  <c:v>-5.3</c:v>
                </c:pt>
              </c:numCache>
            </c:numRef>
          </c:val>
        </c:ser>
        <c:shape val="box"/>
        <c:axId val="108675840"/>
        <c:axId val="108677376"/>
        <c:axId val="0"/>
      </c:bar3DChart>
      <c:catAx>
        <c:axId val="108675840"/>
        <c:scaling>
          <c:orientation val="minMax"/>
        </c:scaling>
        <c:axPos val="b"/>
        <c:numFmt formatCode="Основной" sourceLinked="1"/>
        <c:tickLblPos val="nextTo"/>
        <c:crossAx val="108677376"/>
        <c:crosses val="autoZero"/>
        <c:auto val="1"/>
        <c:lblAlgn val="ctr"/>
        <c:lblOffset val="100"/>
      </c:catAx>
      <c:valAx>
        <c:axId val="108677376"/>
        <c:scaling>
          <c:orientation val="minMax"/>
        </c:scaling>
        <c:axPos val="l"/>
        <c:majorGridlines/>
        <c:numFmt formatCode="Основной" sourceLinked="1"/>
        <c:tickLblPos val="nextTo"/>
        <c:crossAx val="108675840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200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Shmakova</cp:lastModifiedBy>
  <cp:revision>3</cp:revision>
  <dcterms:created xsi:type="dcterms:W3CDTF">2019-02-13T07:47:00Z</dcterms:created>
  <dcterms:modified xsi:type="dcterms:W3CDTF">2019-03-19T01:31:00Z</dcterms:modified>
</cp:coreProperties>
</file>